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EB5BB0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EB5BB0">
        <w:rPr>
          <w:rFonts w:eastAsiaTheme="minorHAnsi" w:cs="Arial"/>
          <w:b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proofErr w:type="spellStart"/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>odprzetwarzających</w:t>
      </w:r>
      <w:proofErr w:type="spellEnd"/>
      <w:r w:rsidR="00130380" w:rsidRPr="00EB5BB0">
        <w:rPr>
          <w:rFonts w:cs="Arial"/>
          <w:i/>
          <w:szCs w:val="18"/>
        </w:rPr>
        <w:t xml:space="preserve">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lastRenderedPageBreak/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 xml:space="preserve"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</w:t>
      </w:r>
      <w:r w:rsidRPr="00D113A0">
        <w:rPr>
          <w:rFonts w:cs="Arial"/>
          <w:szCs w:val="18"/>
        </w:rPr>
        <w:lastRenderedPageBreak/>
        <w:t>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</w:t>
      </w:r>
      <w:r w:rsidRPr="00EB5BB0">
        <w:rPr>
          <w:rFonts w:cs="Arial"/>
          <w:szCs w:val="18"/>
        </w:rPr>
        <w:lastRenderedPageBreak/>
        <w:t xml:space="preserve">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</w:t>
      </w:r>
      <w:proofErr w:type="spellStart"/>
      <w:r w:rsidRPr="00EB5BB0">
        <w:rPr>
          <w:rFonts w:eastAsia="Calibri" w:cs="Arial"/>
          <w:szCs w:val="18"/>
        </w:rPr>
        <w:t>powinnien</w:t>
      </w:r>
      <w:proofErr w:type="spellEnd"/>
      <w:r w:rsidRPr="00EB5BB0">
        <w:rPr>
          <w:rFonts w:eastAsia="Calibri" w:cs="Arial"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, Dalszemu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 xml:space="preserve">wyrządzenia przez </w:t>
      </w:r>
      <w:proofErr w:type="spellStart"/>
      <w:r w:rsidRPr="00D113A0">
        <w:rPr>
          <w:rFonts w:cs="Arial"/>
          <w:color w:val="000000"/>
          <w:szCs w:val="18"/>
        </w:rPr>
        <w:t>Przetwarzajacego</w:t>
      </w:r>
      <w:proofErr w:type="spellEnd"/>
      <w:r w:rsidRPr="00D113A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D113A0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D113A0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lastRenderedPageBreak/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9FFFF" w14:textId="77777777" w:rsidR="00DD0AFD" w:rsidRDefault="00DD0AFD" w:rsidP="00BD627E">
      <w:r>
        <w:separator/>
      </w:r>
    </w:p>
    <w:p w14:paraId="601EA743" w14:textId="77777777" w:rsidR="00DD0AFD" w:rsidRDefault="00DD0AFD"/>
  </w:endnote>
  <w:endnote w:type="continuationSeparator" w:id="0">
    <w:p w14:paraId="0BA11D7D" w14:textId="77777777" w:rsidR="00DD0AFD" w:rsidRDefault="00DD0AFD" w:rsidP="00BD627E">
      <w:r>
        <w:continuationSeparator/>
      </w:r>
    </w:p>
    <w:p w14:paraId="3EF4FBEF" w14:textId="77777777" w:rsidR="00DD0AFD" w:rsidRDefault="00DD0AFD"/>
  </w:endnote>
  <w:endnote w:type="continuationNotice" w:id="1">
    <w:p w14:paraId="43651B33" w14:textId="77777777" w:rsidR="00DD0AFD" w:rsidRDefault="00DD0AFD"/>
    <w:p w14:paraId="18D155FC" w14:textId="77777777" w:rsidR="00DD0AFD" w:rsidRDefault="00DD0A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11FD80EF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3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56C2D007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6B41C6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243BA" w14:textId="77777777" w:rsidR="00DD0AFD" w:rsidRDefault="00DD0AFD" w:rsidP="00BD627E">
      <w:r>
        <w:separator/>
      </w:r>
    </w:p>
    <w:p w14:paraId="6BED1D5F" w14:textId="77777777" w:rsidR="00DD0AFD" w:rsidRDefault="00DD0AFD"/>
  </w:footnote>
  <w:footnote w:type="continuationSeparator" w:id="0">
    <w:p w14:paraId="69008379" w14:textId="77777777" w:rsidR="00DD0AFD" w:rsidRDefault="00DD0AFD" w:rsidP="00BD627E">
      <w:r>
        <w:continuationSeparator/>
      </w:r>
    </w:p>
    <w:p w14:paraId="53C0A89A" w14:textId="77777777" w:rsidR="00DD0AFD" w:rsidRDefault="00DD0AFD"/>
  </w:footnote>
  <w:footnote w:type="continuationNotice" w:id="1">
    <w:p w14:paraId="24194187" w14:textId="77777777" w:rsidR="00DD0AFD" w:rsidRDefault="00DD0AFD"/>
    <w:p w14:paraId="77F3A105" w14:textId="77777777" w:rsidR="00DD0AFD" w:rsidRDefault="00DD0A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7146445">
    <w:abstractNumId w:val="17"/>
  </w:num>
  <w:num w:numId="2" w16cid:durableId="1954751485">
    <w:abstractNumId w:val="16"/>
  </w:num>
  <w:num w:numId="3" w16cid:durableId="1653369651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1562250645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794178211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757284450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164246538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1089813518">
    <w:abstractNumId w:val="12"/>
  </w:num>
  <w:num w:numId="9" w16cid:durableId="235210881">
    <w:abstractNumId w:val="24"/>
  </w:num>
  <w:num w:numId="10" w16cid:durableId="1069770852">
    <w:abstractNumId w:val="19"/>
  </w:num>
  <w:num w:numId="11" w16cid:durableId="1560701886">
    <w:abstractNumId w:val="2"/>
  </w:num>
  <w:num w:numId="12" w16cid:durableId="1051075448">
    <w:abstractNumId w:val="7"/>
  </w:num>
  <w:num w:numId="13" w16cid:durableId="1044519341">
    <w:abstractNumId w:val="11"/>
  </w:num>
  <w:num w:numId="14" w16cid:durableId="2041053447">
    <w:abstractNumId w:val="22"/>
  </w:num>
  <w:num w:numId="15" w16cid:durableId="1049458842">
    <w:abstractNumId w:val="28"/>
  </w:num>
  <w:num w:numId="16" w16cid:durableId="756830531">
    <w:abstractNumId w:val="15"/>
  </w:num>
  <w:num w:numId="17" w16cid:durableId="313072265">
    <w:abstractNumId w:val="18"/>
  </w:num>
  <w:num w:numId="18" w16cid:durableId="1456218511">
    <w:abstractNumId w:val="1"/>
  </w:num>
  <w:num w:numId="19" w16cid:durableId="2035300860">
    <w:abstractNumId w:val="31"/>
  </w:num>
  <w:num w:numId="20" w16cid:durableId="2059088831">
    <w:abstractNumId w:val="29"/>
  </w:num>
  <w:num w:numId="21" w16cid:durableId="604970638">
    <w:abstractNumId w:val="9"/>
  </w:num>
  <w:num w:numId="22" w16cid:durableId="730081945">
    <w:abstractNumId w:val="23"/>
  </w:num>
  <w:num w:numId="23" w16cid:durableId="825047233">
    <w:abstractNumId w:val="0"/>
  </w:num>
  <w:num w:numId="24" w16cid:durableId="763382819">
    <w:abstractNumId w:val="20"/>
  </w:num>
  <w:num w:numId="25" w16cid:durableId="1277101951">
    <w:abstractNumId w:val="13"/>
  </w:num>
  <w:num w:numId="26" w16cid:durableId="842746489">
    <w:abstractNumId w:val="32"/>
  </w:num>
  <w:num w:numId="27" w16cid:durableId="730155060">
    <w:abstractNumId w:val="25"/>
  </w:num>
  <w:num w:numId="28" w16cid:durableId="1508596892">
    <w:abstractNumId w:val="5"/>
  </w:num>
  <w:num w:numId="29" w16cid:durableId="1913076047">
    <w:abstractNumId w:val="21"/>
  </w:num>
  <w:num w:numId="30" w16cid:durableId="1297370828">
    <w:abstractNumId w:val="14"/>
  </w:num>
  <w:num w:numId="31" w16cid:durableId="1596746573">
    <w:abstractNumId w:val="8"/>
  </w:num>
  <w:num w:numId="32" w16cid:durableId="758017346">
    <w:abstractNumId w:val="10"/>
  </w:num>
  <w:num w:numId="33" w16cid:durableId="252706843">
    <w:abstractNumId w:val="27"/>
  </w:num>
  <w:num w:numId="34" w16cid:durableId="857545484">
    <w:abstractNumId w:val="26"/>
  </w:num>
  <w:num w:numId="35" w16cid:durableId="1654479371">
    <w:abstractNumId w:val="4"/>
  </w:num>
  <w:num w:numId="36" w16cid:durableId="966474998">
    <w:abstractNumId w:val="6"/>
  </w:num>
  <w:num w:numId="37" w16cid:durableId="1685936813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5CCC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17A0B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010C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6 Zał. 6 Wzór umowy powierzenia przetwarzania danych - NOWA.docx</dmsv2BaseFileName>
    <dmsv2BaseDisplayName xmlns="http://schemas.microsoft.com/sharepoint/v3">6 Zał. 6 Wzór umowy powierzenia przetwarzania danych - NOWA</dmsv2BaseDisplayName>
    <dmsv2SWPP2ObjectNumber xmlns="http://schemas.microsoft.com/sharepoint/v3">POST/DYS/OLD/GZ/04160/2025                        </dmsv2SWPP2ObjectNumber>
    <dmsv2SWPP2SumMD5 xmlns="http://schemas.microsoft.com/sharepoint/v3">e51daa9056d75c9dab451246a33f14b5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699136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23770412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DPFVW34YURAE-1996658973-7929</_dlc_DocId>
    <_dlc_DocIdUrl xmlns="a19cb1c7-c5c7-46d4-85ae-d83685407bba">
      <Url>https://swpp2.dms.gkpge.pl/sites/40/_layouts/15/DocIdRedir.aspx?ID=DPFVW34YURAE-1996658973-7929</Url>
      <Description>DPFVW34YURAE-1996658973-7929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2BEA3970-3F7D-4714-9B87-5687BF0B3356}"/>
</file>

<file path=customXml/itemProps4.xml><?xml version="1.0" encoding="utf-8"?>
<ds:datastoreItem xmlns:ds="http://schemas.openxmlformats.org/officeDocument/2006/customXml" ds:itemID="{1AE73E52-87F3-4A66-84E1-1FC70F81C1E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61F246D-0E33-4467-8448-34A566FCBE5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FFE3D6F-92E5-430D-A1B1-A40F2DE31292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40A9E27-7049-4456-A9D1-6B549DFEF8FB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Zał_7_szablon.dotx</Template>
  <TotalTime>1</TotalTime>
  <Pages>6</Pages>
  <Words>2674</Words>
  <Characters>19172</Characters>
  <Application>Microsoft Office Word</Application>
  <DocSecurity>4</DocSecurity>
  <Lines>159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Pietruszewski Piotr [PGE Dystr. O.Łódź]</cp:lastModifiedBy>
  <cp:revision>2</cp:revision>
  <cp:lastPrinted>2025-07-07T05:58:00Z</cp:lastPrinted>
  <dcterms:created xsi:type="dcterms:W3CDTF">2025-11-19T08:17:00Z</dcterms:created>
  <dcterms:modified xsi:type="dcterms:W3CDTF">2025-11-19T08:17:00Z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d8572a8d-9287-420f-9e79-e50a14ae4bd8</vt:lpwstr>
  </property>
</Properties>
</file>